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D5D9" w14:textId="77777777" w:rsidR="00F141CB" w:rsidRDefault="002D70EA">
      <w:pPr>
        <w:pStyle w:val="ErlassTitel"/>
      </w:pPr>
      <w:r>
        <w:t>Gesuch im militärischen Plangenehmigungsverfahren</w:t>
      </w:r>
    </w:p>
    <w:p w14:paraId="159916C3" w14:textId="10F7DB23" w:rsidR="00F141CB" w:rsidRDefault="002D70EA" w:rsidP="00055A08">
      <w:pPr>
        <w:pStyle w:val="ErlassTitel10pt"/>
      </w:pPr>
      <w:r>
        <w:t xml:space="preserve">betreffend </w:t>
      </w:r>
      <w:r w:rsidR="00055A08">
        <w:t xml:space="preserve">Schiessplatz </w:t>
      </w:r>
      <w:proofErr w:type="spellStart"/>
      <w:r w:rsidR="00055A08">
        <w:t>Reppischtal</w:t>
      </w:r>
      <w:proofErr w:type="spellEnd"/>
      <w:r w:rsidR="00055A08">
        <w:t xml:space="preserve">; Erneuerung </w:t>
      </w:r>
      <w:r w:rsidR="00055A08" w:rsidRPr="00CB2DD5">
        <w:t>Panzerabwehrzielbahn, Erstellung von 6 Zielvorrichtungen und Lärmsanierung</w:t>
      </w:r>
      <w:r w:rsidR="00CB2DD5" w:rsidRPr="00CB2DD5">
        <w:t xml:space="preserve"> (Antrag</w:t>
      </w:r>
      <w:r w:rsidR="00CB2DD5">
        <w:t xml:space="preserve"> auf Erleichterungen nach Art. 14</w:t>
      </w:r>
      <w:r w:rsidR="0053602C">
        <w:t xml:space="preserve"> Abs. 1</w:t>
      </w:r>
      <w:r w:rsidR="00CB2DD5">
        <w:t xml:space="preserve"> LSV)</w:t>
      </w:r>
    </w:p>
    <w:p w14:paraId="2D0AF39C" w14:textId="77777777" w:rsidR="00F141CB" w:rsidRPr="005E4ECA" w:rsidRDefault="00F141CB">
      <w:pPr>
        <w:pStyle w:val="Abstand18pt"/>
        <w:rPr>
          <w:color w:val="FFFFFF" w:themeColor="background1"/>
        </w:rPr>
      </w:pPr>
    </w:p>
    <w:p w14:paraId="18306710" w14:textId="3E20DF09" w:rsidR="00F141CB" w:rsidRDefault="002D70EA">
      <w:pPr>
        <w:pStyle w:val="ErlassKurztitel"/>
      </w:pPr>
      <w:r>
        <w:t xml:space="preserve">Mitwirkung und </w:t>
      </w:r>
      <w:r w:rsidR="004B63CC">
        <w:t>öffentliche Auflage</w:t>
      </w:r>
      <w:r>
        <w:t xml:space="preserve"> </w:t>
      </w:r>
      <w:r w:rsidRPr="000B0B9A">
        <w:t xml:space="preserve">vom </w:t>
      </w:r>
      <w:r w:rsidR="004B63CC" w:rsidRPr="000B0B9A">
        <w:t>7</w:t>
      </w:r>
      <w:r w:rsidRPr="000B0B9A">
        <w:t xml:space="preserve">. </w:t>
      </w:r>
      <w:r w:rsidR="004B63CC">
        <w:t>Oktober</w:t>
      </w:r>
      <w:r w:rsidR="00055A08">
        <w:t xml:space="preserve"> 2025</w:t>
      </w:r>
    </w:p>
    <w:p w14:paraId="6F255A9C" w14:textId="2374CBCD" w:rsidR="00F141CB" w:rsidRDefault="002D70EA">
      <w:pPr>
        <w:pStyle w:val="Tab-Untertit9pt"/>
      </w:pPr>
      <w:r>
        <w:t>Gemeinde</w:t>
      </w:r>
      <w:r w:rsidR="00055A08">
        <w:t>n</w:t>
      </w:r>
      <w:r>
        <w:t>:</w:t>
      </w:r>
    </w:p>
    <w:p w14:paraId="07120697" w14:textId="2037BEFD" w:rsidR="00F141CB" w:rsidRDefault="00055A08">
      <w:pPr>
        <w:pStyle w:val="Absatz"/>
      </w:pPr>
      <w:r>
        <w:t xml:space="preserve">Birmensdorf, Urdorf und </w:t>
      </w:r>
      <w:proofErr w:type="spellStart"/>
      <w:r>
        <w:t>Bergdietikon</w:t>
      </w:r>
      <w:proofErr w:type="spellEnd"/>
    </w:p>
    <w:p w14:paraId="7849A29C" w14:textId="77777777" w:rsidR="00F141CB" w:rsidRDefault="002D70EA">
      <w:pPr>
        <w:pStyle w:val="Tab-Untertit9pt"/>
      </w:pPr>
      <w:r>
        <w:t>Gesuchstellerin:</w:t>
      </w:r>
    </w:p>
    <w:p w14:paraId="3BF02F43" w14:textId="01AC5F5C" w:rsidR="00F141CB" w:rsidRDefault="002D70EA">
      <w:pPr>
        <w:pStyle w:val="Absatz"/>
      </w:pPr>
      <w:r>
        <w:t xml:space="preserve">armasuisse Immobilien, Baumanagement </w:t>
      </w:r>
      <w:r w:rsidR="00055A08">
        <w:t>Ost</w:t>
      </w:r>
    </w:p>
    <w:p w14:paraId="3748D28C" w14:textId="77777777" w:rsidR="00F141CB" w:rsidRDefault="002D70EA">
      <w:pPr>
        <w:pStyle w:val="Tab-Untertit9pt"/>
      </w:pPr>
      <w:proofErr w:type="spellStart"/>
      <w:r>
        <w:t>Gesuchsunterlagen</w:t>
      </w:r>
      <w:proofErr w:type="spellEnd"/>
      <w:r>
        <w:t>:</w:t>
      </w:r>
    </w:p>
    <w:p w14:paraId="7FC21960" w14:textId="1E70CBE9" w:rsidR="00F141CB" w:rsidRPr="00496947" w:rsidRDefault="002D70EA">
      <w:pPr>
        <w:pStyle w:val="Struktur1"/>
      </w:pPr>
      <w:r w:rsidRPr="00496947">
        <w:t>–</w:t>
      </w:r>
      <w:r w:rsidRPr="00496947">
        <w:tab/>
      </w:r>
      <w:r w:rsidR="004B63CC" w:rsidRPr="00496947">
        <w:t>Bauprojekt inkl. Planbeilagen</w:t>
      </w:r>
    </w:p>
    <w:p w14:paraId="2ED2EB58" w14:textId="4C939439" w:rsidR="00496947" w:rsidRPr="00496947" w:rsidRDefault="00496947">
      <w:pPr>
        <w:pStyle w:val="Struktur1"/>
      </w:pPr>
      <w:r w:rsidRPr="00496947">
        <w:t>–</w:t>
      </w:r>
      <w:r w:rsidRPr="00496947">
        <w:tab/>
        <w:t>Gesuch zuhanden Eidg. Starkstrominspektorat</w:t>
      </w:r>
    </w:p>
    <w:p w14:paraId="44554E92" w14:textId="001FFF22" w:rsidR="00F141CB" w:rsidRPr="00496947" w:rsidRDefault="002D70EA" w:rsidP="004B63CC">
      <w:pPr>
        <w:pStyle w:val="Struktur1"/>
      </w:pPr>
      <w:r w:rsidRPr="00496947">
        <w:t>–</w:t>
      </w:r>
      <w:r w:rsidRPr="00496947">
        <w:tab/>
      </w:r>
      <w:r w:rsidR="004B63CC" w:rsidRPr="00496947">
        <w:t>Gewässerschutzkonzept</w:t>
      </w:r>
    </w:p>
    <w:p w14:paraId="52A37D60" w14:textId="545959A1" w:rsidR="004B63CC" w:rsidRPr="00496947" w:rsidRDefault="004B63CC" w:rsidP="004B63CC">
      <w:pPr>
        <w:pStyle w:val="Struktur1"/>
      </w:pPr>
      <w:r w:rsidRPr="00496947">
        <w:t>–</w:t>
      </w:r>
      <w:r w:rsidRPr="00496947">
        <w:tab/>
        <w:t>Entsorgungskonzepte</w:t>
      </w:r>
    </w:p>
    <w:p w14:paraId="37CA5AC9" w14:textId="39C2F47A" w:rsidR="004B63CC" w:rsidRPr="00496947" w:rsidRDefault="004B63CC" w:rsidP="004B63CC">
      <w:pPr>
        <w:pStyle w:val="Struktur1"/>
      </w:pPr>
      <w:r w:rsidRPr="00496947">
        <w:t>–</w:t>
      </w:r>
      <w:r w:rsidRPr="00496947">
        <w:tab/>
        <w:t>Massnahmenkonzept Neophyten</w:t>
      </w:r>
    </w:p>
    <w:p w14:paraId="672875A3" w14:textId="1D008EA7" w:rsidR="004B63CC" w:rsidRPr="00496947" w:rsidRDefault="004B63CC" w:rsidP="004B63CC">
      <w:pPr>
        <w:pStyle w:val="Struktur1"/>
      </w:pPr>
      <w:r w:rsidRPr="00496947">
        <w:t>–</w:t>
      </w:r>
      <w:r w:rsidRPr="00496947">
        <w:tab/>
        <w:t>Altlastensanierungsprojekt</w:t>
      </w:r>
    </w:p>
    <w:p w14:paraId="17B41287" w14:textId="23BAD951" w:rsidR="00F141CB" w:rsidRPr="004B63CC" w:rsidRDefault="002D70EA">
      <w:pPr>
        <w:pStyle w:val="Struktur1"/>
      </w:pPr>
      <w:r w:rsidRPr="00496947">
        <w:t>–</w:t>
      </w:r>
      <w:r w:rsidRPr="00496947">
        <w:tab/>
        <w:t>Lärmgutachten</w:t>
      </w:r>
      <w:r w:rsidR="004B63CC" w:rsidRPr="00496947">
        <w:t xml:space="preserve"> inkl</w:t>
      </w:r>
      <w:r w:rsidR="004B63CC" w:rsidRPr="004B63CC">
        <w:t>. Beilagen</w:t>
      </w:r>
    </w:p>
    <w:p w14:paraId="064ADA3B" w14:textId="14805B5F" w:rsidR="004B63CC" w:rsidRPr="004B63CC" w:rsidRDefault="004B63CC">
      <w:pPr>
        <w:pStyle w:val="Struktur1"/>
      </w:pPr>
      <w:r w:rsidRPr="004B63CC">
        <w:t>–</w:t>
      </w:r>
      <w:r w:rsidRPr="004B63CC">
        <w:tab/>
        <w:t>Erleichterungsgesuch</w:t>
      </w:r>
    </w:p>
    <w:p w14:paraId="0F977C23" w14:textId="3520E56E" w:rsidR="004B63CC" w:rsidRPr="00FE6E6B" w:rsidRDefault="004B63CC" w:rsidP="00FE6E6B">
      <w:pPr>
        <w:pStyle w:val="Struktur1"/>
      </w:pPr>
      <w:r w:rsidRPr="004B63CC">
        <w:t>–</w:t>
      </w:r>
      <w:r w:rsidRPr="004B63CC">
        <w:tab/>
      </w:r>
      <w:proofErr w:type="spellStart"/>
      <w:r w:rsidRPr="004B63CC">
        <w:t>Isophonenkarte</w:t>
      </w:r>
      <w:proofErr w:type="spellEnd"/>
    </w:p>
    <w:p w14:paraId="37E33C88" w14:textId="77777777" w:rsidR="00F141CB" w:rsidRDefault="002D70EA">
      <w:pPr>
        <w:pStyle w:val="Tab-Untertit9pt"/>
      </w:pPr>
      <w:r>
        <w:t>Gegenstand:</w:t>
      </w:r>
    </w:p>
    <w:p w14:paraId="2395FF61" w14:textId="031ADA45" w:rsidR="00F141CB" w:rsidRDefault="00D1340F" w:rsidP="00D8222C">
      <w:pPr>
        <w:pStyle w:val="Absatz"/>
      </w:pPr>
      <w:r>
        <w:t xml:space="preserve">Das Vorhaben umfasst die Anpassung der Panzerabwehrzielbahn sowie die Erstellung von sechs fixen Zielvorrichtungen auf dem Schiessplatz </w:t>
      </w:r>
      <w:proofErr w:type="spellStart"/>
      <w:r>
        <w:t>Reppischtal</w:t>
      </w:r>
      <w:proofErr w:type="spellEnd"/>
      <w:r w:rsidR="00496947">
        <w:t xml:space="preserve"> (inkl. Altlastensanierung)</w:t>
      </w:r>
      <w:r>
        <w:t xml:space="preserve">. Zudem soll der Schiessplatz </w:t>
      </w:r>
      <w:proofErr w:type="spellStart"/>
      <w:r>
        <w:t>Reppischtal</w:t>
      </w:r>
      <w:proofErr w:type="spellEnd"/>
      <w:r>
        <w:t xml:space="preserve"> mit vorliegendem Vorhaben gleichzeitig gemäss der Lärmschutz-Verordnung (LSV; SR 814.41) saniert werden. Gemäss Lärmbericht </w:t>
      </w:r>
      <w:r w:rsidR="00A20B38">
        <w:t>sind</w:t>
      </w:r>
      <w:r>
        <w:t xml:space="preserve"> keine verhältnismässigen oder betriebliche Massnahmen zur Einhaltung der Grenzwerte möglich. Für die vier verbleibenden Grenzwertüberschreitungen werden deshalb Erleichterungen</w:t>
      </w:r>
      <w:r w:rsidR="00A7514F">
        <w:t xml:space="preserve"> nach Art</w:t>
      </w:r>
      <w:r w:rsidR="00FE17EC">
        <w:t>ikel</w:t>
      </w:r>
      <w:r w:rsidR="00A7514F">
        <w:t xml:space="preserve"> 14 Abs</w:t>
      </w:r>
      <w:r w:rsidR="00FE17EC">
        <w:t>atz</w:t>
      </w:r>
      <w:r w:rsidR="00A7514F">
        <w:t xml:space="preserve"> 1 LSV</w:t>
      </w:r>
      <w:r>
        <w:t xml:space="preserve"> beantragt.</w:t>
      </w:r>
      <w:r w:rsidR="00A20B38">
        <w:t xml:space="preserve"> </w:t>
      </w:r>
      <w:r w:rsidR="00245297">
        <w:t xml:space="preserve">Mit vorliegendem Verfahren sollen </w:t>
      </w:r>
      <w:r w:rsidR="00A20B38">
        <w:t xml:space="preserve">zudem </w:t>
      </w:r>
      <w:r w:rsidR="00245297">
        <w:t>die</w:t>
      </w:r>
      <w:r w:rsidR="00D8222C">
        <w:t xml:space="preserve"> zulässigen Lärmimmissionen des Schiessplatzes gemäss Art. 37</w:t>
      </w:r>
      <w:r w:rsidR="00D8222C" w:rsidRPr="0059608A">
        <w:rPr>
          <w:i/>
          <w:iCs/>
        </w:rPr>
        <w:t>a</w:t>
      </w:r>
      <w:r w:rsidR="00D8222C">
        <w:t xml:space="preserve"> Abs. 1 LSV</w:t>
      </w:r>
      <w:r w:rsidR="00245297">
        <w:t xml:space="preserve"> in der Plangenehmigung festgelegt werden</w:t>
      </w:r>
      <w:r w:rsidR="00D8222C">
        <w:t>.</w:t>
      </w:r>
    </w:p>
    <w:p w14:paraId="5064B28A" w14:textId="77777777" w:rsidR="00F141CB" w:rsidRDefault="002D70EA">
      <w:pPr>
        <w:pStyle w:val="Tab-Untertit9pt"/>
      </w:pPr>
      <w:r>
        <w:t>Verfahren:</w:t>
      </w:r>
    </w:p>
    <w:p w14:paraId="42223C76" w14:textId="003B6900" w:rsidR="00F141CB" w:rsidRDefault="002D70EA">
      <w:pPr>
        <w:pStyle w:val="Absatz"/>
      </w:pPr>
      <w:r>
        <w:t xml:space="preserve">Das Verfahren richtet sich nach dem Militärgesetz (Art. 126 ff. MG; SR </w:t>
      </w:r>
      <w:r w:rsidRPr="00D1340F">
        <w:t>510.10),</w:t>
      </w:r>
      <w:r>
        <w:t xml:space="preserve"> der militärischen Plangenehmigungsverordnung (MPV; SR </w:t>
      </w:r>
      <w:r w:rsidRPr="00D1340F">
        <w:t>510.51</w:t>
      </w:r>
      <w:r>
        <w:t xml:space="preserve">) und subsidiär nach </w:t>
      </w:r>
      <w:r>
        <w:lastRenderedPageBreak/>
        <w:t>dem Bundesgesetz über die Enteignung (</w:t>
      </w:r>
      <w:proofErr w:type="spellStart"/>
      <w:r>
        <w:t>EntG</w:t>
      </w:r>
      <w:proofErr w:type="spellEnd"/>
      <w:r>
        <w:t xml:space="preserve">; SR </w:t>
      </w:r>
      <w:r w:rsidRPr="00D1340F">
        <w:t>711</w:t>
      </w:r>
      <w:r>
        <w:t xml:space="preserve">). Das Generalsekretariat VBS ist Genehmigungsbehörde und leitet das Verfahren. </w:t>
      </w:r>
    </w:p>
    <w:p w14:paraId="01D999DB" w14:textId="77777777" w:rsidR="00F141CB" w:rsidRDefault="002D70EA">
      <w:pPr>
        <w:pStyle w:val="Tab-Untertit9pt"/>
      </w:pPr>
      <w:r>
        <w:t>Mitwirkungs- und Anhörungsverfahren:</w:t>
      </w:r>
    </w:p>
    <w:p w14:paraId="13F011A5" w14:textId="4AA0C105" w:rsidR="00F141CB" w:rsidRDefault="002D70EA">
      <w:pPr>
        <w:pStyle w:val="Absatz"/>
      </w:pPr>
      <w:r>
        <w:t>Nach Artikel 126 und 126</w:t>
      </w:r>
      <w:r>
        <w:rPr>
          <w:i/>
        </w:rPr>
        <w:t>d</w:t>
      </w:r>
      <w:r>
        <w:t xml:space="preserve"> MG in Verbindung mit Artikel 62</w:t>
      </w:r>
      <w:r>
        <w:rPr>
          <w:i/>
        </w:rPr>
        <w:t>a</w:t>
      </w:r>
      <w:r>
        <w:t xml:space="preserve"> des Regierungs- und Verwaltungsorganisationsgesetzes (RVOG, SR </w:t>
      </w:r>
      <w:r w:rsidRPr="00D1340F">
        <w:t>172.010</w:t>
      </w:r>
      <w:r>
        <w:t>) sind die betroffenen Kantone, Gemeinden und Fachbehörden des Bundes anzuhören, bevor die Genehmigungsbehörde ihren Entscheid fällt. Während der Dauer der öffentlichen Auflage hat zudem die betroffene Bevölkerung Gelegenheit, bei der Genehmigungsbehörde</w:t>
      </w:r>
      <w:r>
        <w:rPr>
          <w:sz w:val="22"/>
          <w:szCs w:val="22"/>
        </w:rPr>
        <w:t xml:space="preserve"> </w:t>
      </w:r>
      <w:r>
        <w:t>schriftliche Anregungen einzureichen.</w:t>
      </w:r>
    </w:p>
    <w:p w14:paraId="41AF275D" w14:textId="77777777" w:rsidR="00F141CB" w:rsidRDefault="002D70EA">
      <w:pPr>
        <w:pStyle w:val="Tab-Untertit9pt"/>
      </w:pPr>
      <w:r>
        <w:t>UVP:</w:t>
      </w:r>
    </w:p>
    <w:p w14:paraId="7785F226" w14:textId="4EF00DD5" w:rsidR="00F141CB" w:rsidRDefault="002D70EA">
      <w:pPr>
        <w:pStyle w:val="Absatz"/>
      </w:pPr>
      <w:r>
        <w:t xml:space="preserve">Das Projekt </w:t>
      </w:r>
      <w:r w:rsidRPr="00D1340F">
        <w:t>unterliegt nicht der Pflicht zur Umweltverträglichkeitsprüfung (UVP) gemäss Artikel 10</w:t>
      </w:r>
      <w:r w:rsidRPr="00D1340F">
        <w:rPr>
          <w:i/>
        </w:rPr>
        <w:t>a</w:t>
      </w:r>
      <w:r w:rsidRPr="00D1340F">
        <w:t xml:space="preserve"> des Umweltschutzgesetzes</w:t>
      </w:r>
      <w:r>
        <w:t xml:space="preserve"> (USG; SR </w:t>
      </w:r>
      <w:r w:rsidRPr="00D1340F">
        <w:t>814.01</w:t>
      </w:r>
      <w:r>
        <w:t>).</w:t>
      </w:r>
    </w:p>
    <w:p w14:paraId="05F48BE9" w14:textId="5056604F" w:rsidR="00F141CB" w:rsidRDefault="002D70EA">
      <w:pPr>
        <w:pStyle w:val="Tab-Untertit9pt"/>
      </w:pPr>
      <w:r>
        <w:t>Ausnahmebewilligungen:</w:t>
      </w:r>
    </w:p>
    <w:p w14:paraId="11A80C0A" w14:textId="234B9680" w:rsidR="00F141CB" w:rsidRDefault="002D70EA">
      <w:pPr>
        <w:pStyle w:val="Absatz"/>
      </w:pPr>
      <w:r>
        <w:t xml:space="preserve">Für das </w:t>
      </w:r>
      <w:r w:rsidRPr="004B63CC">
        <w:t>Projekt sind nach aktuellem Planungsstand folgende umweltrechtlichen Ausnahmebewilligungen nötig:</w:t>
      </w:r>
    </w:p>
    <w:p w14:paraId="48A961CC" w14:textId="4057D278" w:rsidR="00F141CB" w:rsidRPr="004B63CC" w:rsidRDefault="002D70EA">
      <w:pPr>
        <w:pStyle w:val="Struktur1"/>
      </w:pPr>
      <w:r w:rsidRPr="004B63CC">
        <w:t>–</w:t>
      </w:r>
      <w:r w:rsidRPr="004B63CC">
        <w:tab/>
        <w:t>Ausnahmebewilligung für das Bauen im Gewässerraum gemäss Artikel 41</w:t>
      </w:r>
      <w:r w:rsidRPr="004B63CC">
        <w:rPr>
          <w:i/>
          <w:iCs/>
        </w:rPr>
        <w:t>c</w:t>
      </w:r>
      <w:r w:rsidRPr="004B63CC">
        <w:t xml:space="preserve"> Absatz 1 der Gewässerschutzverordnung (</w:t>
      </w:r>
      <w:proofErr w:type="spellStart"/>
      <w:r w:rsidRPr="004B63CC">
        <w:t>GSchV</w:t>
      </w:r>
      <w:proofErr w:type="spellEnd"/>
      <w:r w:rsidRPr="004B63CC">
        <w:t>; SR 814.201)</w:t>
      </w:r>
    </w:p>
    <w:p w14:paraId="3BD16DB0" w14:textId="4333CBDE" w:rsidR="00FE17EC" w:rsidRPr="00FE6E6B" w:rsidRDefault="00FE17EC" w:rsidP="00FE6E6B">
      <w:pPr>
        <w:pStyle w:val="Struktur1"/>
      </w:pPr>
      <w:r w:rsidRPr="00FE17EC">
        <w:t>–</w:t>
      </w:r>
      <w:r w:rsidRPr="00FE17EC">
        <w:tab/>
        <w:t>Erleichterungen nach Artikel 14 Absatz 1 der Lär</w:t>
      </w:r>
      <w:r w:rsidR="00AE5951">
        <w:t>m</w:t>
      </w:r>
      <w:r w:rsidRPr="00FE17EC">
        <w:t>schutz-Verordnung (LSV; SR 814.41)</w:t>
      </w:r>
    </w:p>
    <w:p w14:paraId="70CCDB7A" w14:textId="77777777" w:rsidR="00F141CB" w:rsidRDefault="002D70EA">
      <w:pPr>
        <w:pStyle w:val="Tab-Untertit9pt"/>
      </w:pPr>
      <w:r>
        <w:t>Öffentliche Auflage:</w:t>
      </w:r>
    </w:p>
    <w:p w14:paraId="37C6A97C" w14:textId="7306825B" w:rsidR="00E65D04" w:rsidRDefault="002D70EA">
      <w:pPr>
        <w:pStyle w:val="Absatz"/>
      </w:pPr>
      <w:r>
        <w:t xml:space="preserve">Die </w:t>
      </w:r>
      <w:proofErr w:type="spellStart"/>
      <w:r>
        <w:t>Gesuchsunterlagen</w:t>
      </w:r>
      <w:proofErr w:type="spellEnd"/>
      <w:r>
        <w:t xml:space="preserve"> können vom </w:t>
      </w:r>
      <w:r w:rsidR="00E65D04">
        <w:t>7. Oktober</w:t>
      </w:r>
      <w:r>
        <w:t xml:space="preserve"> bis </w:t>
      </w:r>
      <w:r w:rsidR="00E65D04">
        <w:t xml:space="preserve">5. November 2025 </w:t>
      </w:r>
      <w:r>
        <w:t>während der ordentlichen Öffnungszeiten an folgende</w:t>
      </w:r>
      <w:r w:rsidR="006C790A">
        <w:t>n</w:t>
      </w:r>
      <w:r>
        <w:t xml:space="preserve"> Stelle</w:t>
      </w:r>
      <w:r w:rsidR="006C790A">
        <w:t>n</w:t>
      </w:r>
      <w:r>
        <w:t xml:space="preserve"> eingesehen werden: </w:t>
      </w:r>
    </w:p>
    <w:p w14:paraId="5F3740A1" w14:textId="6F1319E5" w:rsidR="00E65D04" w:rsidRPr="006C790A" w:rsidRDefault="006C790A" w:rsidP="006C790A">
      <w:pPr>
        <w:pStyle w:val="Struktur1"/>
      </w:pPr>
      <w:r w:rsidRPr="006C790A">
        <w:t>–</w:t>
      </w:r>
      <w:r w:rsidRPr="006C790A">
        <w:tab/>
      </w:r>
      <w:r w:rsidR="00E65D04" w:rsidRPr="006C790A">
        <w:t>Gemeinde</w:t>
      </w:r>
      <w:r w:rsidR="0020114F" w:rsidRPr="006C790A">
        <w:t>verwaltung</w:t>
      </w:r>
      <w:r w:rsidR="00E65D04" w:rsidRPr="006C790A">
        <w:t xml:space="preserve"> Birmensdorf</w:t>
      </w:r>
      <w:r w:rsidR="0020114F" w:rsidRPr="006C790A">
        <w:t xml:space="preserve">, Abteilung Hochbau, </w:t>
      </w:r>
      <w:proofErr w:type="spellStart"/>
      <w:r w:rsidR="0020114F" w:rsidRPr="006C790A">
        <w:t>Stallikonerstrasse</w:t>
      </w:r>
      <w:proofErr w:type="spellEnd"/>
      <w:r w:rsidR="0020114F" w:rsidRPr="006C790A">
        <w:t xml:space="preserve"> 9,  8903 Birmensdorf</w:t>
      </w:r>
    </w:p>
    <w:p w14:paraId="0D3444D4" w14:textId="1FC3FF8B" w:rsidR="006C790A" w:rsidRDefault="006C790A" w:rsidP="006C790A">
      <w:pPr>
        <w:pStyle w:val="Struktur1"/>
      </w:pPr>
      <w:r w:rsidRPr="006C790A">
        <w:t>–</w:t>
      </w:r>
      <w:r w:rsidRPr="006C790A">
        <w:tab/>
      </w:r>
      <w:r w:rsidR="00E65D04">
        <w:t>Gemeinde</w:t>
      </w:r>
      <w:r>
        <w:t>verwaltung</w:t>
      </w:r>
      <w:r w:rsidR="00E65D04">
        <w:t xml:space="preserve"> Urdorf</w:t>
      </w:r>
      <w:r>
        <w:t>, Bauabteilung, Bahnhofstrasse 16, 8902 Urdorf</w:t>
      </w:r>
    </w:p>
    <w:p w14:paraId="7E0CD13A" w14:textId="506B6DDE" w:rsidR="00F141CB" w:rsidRDefault="006C790A" w:rsidP="006C790A">
      <w:pPr>
        <w:pStyle w:val="Struktur1"/>
      </w:pPr>
      <w:r w:rsidRPr="006C790A">
        <w:t>–</w:t>
      </w:r>
      <w:r w:rsidRPr="006C790A">
        <w:tab/>
      </w:r>
      <w:r w:rsidR="00672404">
        <w:t xml:space="preserve">Gemeindehaus </w:t>
      </w:r>
      <w:proofErr w:type="spellStart"/>
      <w:r w:rsidR="00672404">
        <w:t>Bergdietikon</w:t>
      </w:r>
      <w:proofErr w:type="spellEnd"/>
      <w:r w:rsidR="00672404">
        <w:t>,</w:t>
      </w:r>
      <w:r>
        <w:t xml:space="preserve"> Kanzlei, Schulstrasse 6, </w:t>
      </w:r>
      <w:r w:rsidR="00672404">
        <w:t xml:space="preserve">8962 </w:t>
      </w:r>
      <w:proofErr w:type="spellStart"/>
      <w:r w:rsidR="00672404">
        <w:t>Bergdietikon</w:t>
      </w:r>
      <w:proofErr w:type="spellEnd"/>
    </w:p>
    <w:p w14:paraId="197F19F3" w14:textId="77777777" w:rsidR="00F141CB" w:rsidRDefault="002D70EA">
      <w:pPr>
        <w:pStyle w:val="Tab-Untertit9pt"/>
      </w:pPr>
      <w:r>
        <w:t>Aussteckung / Profilierung:</w:t>
      </w:r>
    </w:p>
    <w:p w14:paraId="3C133C32" w14:textId="77777777" w:rsidR="00F141CB" w:rsidRDefault="002D70EA">
      <w:pPr>
        <w:pStyle w:val="Absatz"/>
      </w:pPr>
      <w:r>
        <w:t>Während der öffentlichen Auflage sind die Veränderungen, welche die geplanten Bauten und Anlagen im Gelände bewirken, sichtbar zu machen und auszustecken; bei Hochbauten sind Profile aufzustellen.</w:t>
      </w:r>
    </w:p>
    <w:p w14:paraId="02D67AEC" w14:textId="77777777" w:rsidR="00F141CB" w:rsidRDefault="002D70EA">
      <w:pPr>
        <w:pStyle w:val="Tab-Untertit9pt"/>
      </w:pPr>
      <w:r>
        <w:t>Einsprachen:</w:t>
      </w:r>
    </w:p>
    <w:p w14:paraId="793665C1" w14:textId="027D4243" w:rsidR="00F141CB" w:rsidRPr="00E65D04" w:rsidRDefault="002D70EA">
      <w:pPr>
        <w:pStyle w:val="Absatz"/>
      </w:pPr>
      <w:r>
        <w:t>Einsprache kann erheben, wer nach dem Verwaltungsverfahrensgesetz (VwVG; SR </w:t>
      </w:r>
      <w:r w:rsidRPr="00E65D04">
        <w:t>172.021</w:t>
      </w:r>
      <w:r>
        <w:t xml:space="preserve">) oder </w:t>
      </w:r>
      <w:proofErr w:type="spellStart"/>
      <w:r>
        <w:t>EntG</w:t>
      </w:r>
      <w:proofErr w:type="spellEnd"/>
      <w:r>
        <w:t xml:space="preserve"> Partei ist. Einsprachen müssen schriftlich innert der Auflagefrist beim Generalsekretariat VBS, </w:t>
      </w:r>
      <w:r w:rsidRPr="00E65D04">
        <w:t>Maulbeerstrasse 9, 3003 Bern erhoben werden und müssen Antrag und Begründung enthalten.</w:t>
      </w:r>
    </w:p>
    <w:p w14:paraId="36EA9BE5" w14:textId="04F8F0E6" w:rsidR="00F141CB" w:rsidRPr="00E65D04" w:rsidRDefault="002D70EA">
      <w:pPr>
        <w:pStyle w:val="Absatz"/>
      </w:pPr>
      <w:r w:rsidRPr="00E65D04">
        <w:t>Wer keine Einsprache erhebt, ist vom weiteren Verfahren ausgeschlossen (vgl. Art. 126</w:t>
      </w:r>
      <w:r w:rsidRPr="00E65D04">
        <w:rPr>
          <w:i/>
        </w:rPr>
        <w:t>f</w:t>
      </w:r>
      <w:r w:rsidRPr="00E65D04">
        <w:t xml:space="preserve"> Abs. 1 MG und 14 MPV). Innerhalb der Auflagefrist sind sämtliche enteignungsrechtlichen Einwände sowie Begehren um Entschädigung oder Sachleistung </w:t>
      </w:r>
      <w:r w:rsidRPr="00E65D04">
        <w:lastRenderedPageBreak/>
        <w:t xml:space="preserve">geltend zu machen. Wer nach den Vorschriften des </w:t>
      </w:r>
      <w:proofErr w:type="spellStart"/>
      <w:r w:rsidRPr="00E65D04">
        <w:t>EntG</w:t>
      </w:r>
      <w:proofErr w:type="spellEnd"/>
      <w:r w:rsidRPr="00E65D04">
        <w:t xml:space="preserve"> Partei ist, kann während der Auflagefrist sämtliche Begehren nach Artikel 33 </w:t>
      </w:r>
      <w:proofErr w:type="spellStart"/>
      <w:r w:rsidRPr="00E65D04">
        <w:t>EntG</w:t>
      </w:r>
      <w:proofErr w:type="spellEnd"/>
      <w:r w:rsidRPr="00E65D04">
        <w:t xml:space="preserve"> geltend machen (Art. 126</w:t>
      </w:r>
      <w:r w:rsidRPr="00E65D04">
        <w:rPr>
          <w:i/>
        </w:rPr>
        <w:t>f</w:t>
      </w:r>
      <w:r w:rsidRPr="00E65D04">
        <w:t xml:space="preserve"> Abs. 2 MG). Einwände gegen die Aussteckung oder die Aufstellung von Profilen sind sofort, jedenfalls aber vor Ablauf der Auflagefrist bei der Genehmigungsbehörde vorzubringen (Art. 126</w:t>
      </w:r>
      <w:r w:rsidRPr="00E65D04">
        <w:rPr>
          <w:i/>
        </w:rPr>
        <w:t>c</w:t>
      </w:r>
      <w:r w:rsidRPr="00E65D04">
        <w:t xml:space="preserve"> Abs. 3 MG).</w:t>
      </w:r>
    </w:p>
    <w:p w14:paraId="177A08A8" w14:textId="77777777" w:rsidR="00F141CB" w:rsidRPr="00E65D04" w:rsidRDefault="002D70EA">
      <w:pPr>
        <w:pStyle w:val="Tab-Untertit9pt"/>
      </w:pPr>
      <w:r w:rsidRPr="00E65D04">
        <w:t>Enteignungsbann:</w:t>
      </w:r>
    </w:p>
    <w:p w14:paraId="3FAAD758" w14:textId="6F480ED6" w:rsidR="00F141CB" w:rsidRPr="00E65D04" w:rsidRDefault="002D70EA">
      <w:pPr>
        <w:pStyle w:val="Absatz"/>
      </w:pPr>
      <w:r w:rsidRPr="00E65D04">
        <w:t xml:space="preserve">Mit der Zustellung der persönlichen Anzeige oder des Enteignungsgesuchs an den zu Enteignenden dürfen ohne Zustimmung des Enteigners keine die Enteignung </w:t>
      </w:r>
      <w:r w:rsidRPr="00E65D04">
        <w:rPr>
          <w:noProof/>
        </w:rPr>
        <w:t>erschwerenden</w:t>
      </w:r>
      <w:r w:rsidRPr="00E65D04">
        <w:t xml:space="preserve"> rechtlichen oder tatsächlichen Verfügungen mehr getroffen werden (Art. 42 </w:t>
      </w:r>
      <w:proofErr w:type="spellStart"/>
      <w:r w:rsidRPr="00E65D04">
        <w:t>EntG</w:t>
      </w:r>
      <w:proofErr w:type="spellEnd"/>
      <w:r w:rsidRPr="00E65D04">
        <w:t xml:space="preserve">). Für den aus dem Enteignungsbann entstehenden Schaden hat der Enteigner vollen Ersatz zu leisten (Art. 44 Abs. 1 </w:t>
      </w:r>
      <w:proofErr w:type="spellStart"/>
      <w:r w:rsidRPr="00E65D04">
        <w:t>EntG</w:t>
      </w:r>
      <w:proofErr w:type="spellEnd"/>
      <w:r w:rsidRPr="00E65D04">
        <w:t>).</w:t>
      </w:r>
    </w:p>
    <w:p w14:paraId="6954BE49" w14:textId="77777777" w:rsidR="00F141CB" w:rsidRPr="00E65D04" w:rsidRDefault="002D70EA">
      <w:pPr>
        <w:pStyle w:val="Tab-Untertit9pt"/>
      </w:pPr>
      <w:r w:rsidRPr="00E65D04">
        <w:t>Mitteilung an Mieter und Pächter:</w:t>
      </w:r>
    </w:p>
    <w:p w14:paraId="7314E1E4" w14:textId="77777777" w:rsidR="00F141CB" w:rsidRPr="00E65D04" w:rsidRDefault="002D70EA">
      <w:pPr>
        <w:pStyle w:val="Absatz"/>
      </w:pPr>
      <w:r w:rsidRPr="00E65D04">
        <w:t xml:space="preserve">Wird durch die Enteignung in Miet- und Pachtverträge eingegriffen, die nicht im Grundbuch vorgemerkt sind, so haben die Vermieter und Verpächter ihren Mietern und Pächtern sofort nach Empfang der persönlichen Anzeige davon Mitteilung zu </w:t>
      </w:r>
      <w:r w:rsidRPr="00E65D04">
        <w:rPr>
          <w:noProof/>
        </w:rPr>
        <w:t>machen</w:t>
      </w:r>
      <w:r w:rsidRPr="00E65D04">
        <w:t xml:space="preserve"> und den Enteigner über solche Miet- und Pachtverhältnisse in Kenntnis zu setzen (Art. 32 Abs. 1 </w:t>
      </w:r>
      <w:proofErr w:type="spellStart"/>
      <w:r w:rsidRPr="00E65D04">
        <w:t>EntG</w:t>
      </w:r>
      <w:proofErr w:type="spellEnd"/>
      <w:r w:rsidRPr="00E65D04">
        <w:t xml:space="preserve">). Erhalten die Vermieter oder Verpächter die persönliche Anzeige erst nach der Publikation, so gelten für die Mieter und Pächter die gleichen Fristen wie für die Vermieter oder Verpächter (Art. 32 Abs. 2 </w:t>
      </w:r>
      <w:proofErr w:type="spellStart"/>
      <w:r w:rsidRPr="00E65D04">
        <w:t>EntG</w:t>
      </w:r>
      <w:proofErr w:type="spellEnd"/>
      <w:r w:rsidRPr="00E65D04">
        <w:t>).</w:t>
      </w:r>
    </w:p>
    <w:tbl>
      <w:tblPr>
        <w:tblStyle w:val="Tabellenraster"/>
        <w:tblW w:w="0" w:type="auto"/>
        <w:tblLook w:val="04A0" w:firstRow="1" w:lastRow="0" w:firstColumn="1" w:lastColumn="0" w:noHBand="0" w:noVBand="1"/>
      </w:tblPr>
      <w:tblGrid>
        <w:gridCol w:w="2632"/>
        <w:gridCol w:w="3492"/>
      </w:tblGrid>
      <w:tr w:rsidR="00F141CB" w14:paraId="6DEEEC7D" w14:textId="77777777">
        <w:tc>
          <w:tcPr>
            <w:tcW w:w="2632" w:type="dxa"/>
          </w:tcPr>
          <w:p w14:paraId="2A28EE36" w14:textId="30D45041" w:rsidR="00F141CB" w:rsidRDefault="006C790A">
            <w:pPr>
              <w:pStyle w:val="UnterschriftenFI1"/>
              <w:rPr>
                <w:highlight w:val="yellow"/>
              </w:rPr>
            </w:pPr>
            <w:r w:rsidRPr="000B0B9A">
              <w:t>2</w:t>
            </w:r>
            <w:r w:rsidR="00E65D04" w:rsidRPr="000B0B9A">
              <w:t>. Oktober 2025</w:t>
            </w:r>
            <w:r w:rsidR="00E65D04">
              <w:rPr>
                <w:highlight w:val="red"/>
              </w:rPr>
              <w:fldChar w:fldCharType="begin"/>
            </w:r>
            <w:r w:rsidR="00E65D04">
              <w:rPr>
                <w:highlight w:val="red"/>
              </w:rPr>
              <w:instrText xml:space="preserve"> QUOTE  (Publikation) </w:instrText>
            </w:r>
            <w:r w:rsidR="00E65D04">
              <w:rPr>
                <w:highlight w:val="red"/>
              </w:rPr>
              <w:fldChar w:fldCharType="separate"/>
            </w:r>
            <w:r w:rsidR="00E65D04">
              <w:rPr>
                <w:highlight w:val="red"/>
              </w:rPr>
              <w:fldChar w:fldCharType="end"/>
            </w:r>
          </w:p>
        </w:tc>
        <w:tc>
          <w:tcPr>
            <w:tcW w:w="3492" w:type="dxa"/>
          </w:tcPr>
          <w:p w14:paraId="7F4750AD" w14:textId="4BDE6384" w:rsidR="00F141CB" w:rsidRDefault="002D70EA">
            <w:pPr>
              <w:pStyle w:val="UnterschriftenFI1"/>
            </w:pPr>
            <w:r>
              <w:t>Eidgenössisches Departement für Verteidigung, Bevölkerungsschutz und Sport</w:t>
            </w:r>
          </w:p>
        </w:tc>
      </w:tr>
    </w:tbl>
    <w:p w14:paraId="16AE9C33" w14:textId="4D5A443F" w:rsidR="00F141CB" w:rsidRPr="005E4ECA" w:rsidRDefault="00F141CB" w:rsidP="005E4ECA">
      <w:pPr>
        <w:pStyle w:val="Abstand1Seite"/>
        <w:rPr>
          <w:color w:val="FFFFFF" w:themeColor="background1"/>
          <w:sz w:val="16"/>
          <w:szCs w:val="16"/>
        </w:rPr>
      </w:pPr>
    </w:p>
    <w:sectPr w:rsidR="00F141CB" w:rsidRPr="005E4ECA">
      <w:headerReference w:type="default" r:id="rId7"/>
      <w:footerReference w:type="even" r:id="rId8"/>
      <w:footerReference w:type="default" r:id="rId9"/>
      <w:headerReference w:type="first" r:id="rId10"/>
      <w:footerReference w:type="first" r:id="rId11"/>
      <w:pgSz w:w="8392" w:h="11907" w:code="11"/>
      <w:pgMar w:top="737" w:right="1134" w:bottom="851" w:left="1134" w:header="680" w:footer="567"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93BE9" w14:textId="77777777" w:rsidR="00EB60BD" w:rsidRDefault="00EB60BD">
      <w:r>
        <w:separator/>
      </w:r>
    </w:p>
  </w:endnote>
  <w:endnote w:type="continuationSeparator" w:id="0">
    <w:p w14:paraId="1B036F54" w14:textId="77777777" w:rsidR="00EB60BD" w:rsidRDefault="00EB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AFEA" w14:textId="77777777" w:rsidR="00F141CB" w:rsidRDefault="002D70EA">
    <w:pPr>
      <w:pStyle w:val="Fuzeile"/>
    </w:pPr>
    <w:r>
      <w:fldChar w:fldCharType="begin"/>
    </w:r>
    <w:r>
      <w:instrText>PAGE</w:instrText>
    </w:r>
    <w:r>
      <w:fldChar w:fldCharType="separate"/>
    </w:r>
    <w:r>
      <w:rPr>
        <w:noProof/>
      </w:rPr>
      <w:t>2</w:t>
    </w:r>
    <w:r>
      <w:fldChar w:fldCharType="end"/>
    </w:r>
    <w:r>
      <w:t xml:space="preserve"> / </w:t>
    </w:r>
    <w:fldSimple w:instr=" NUMPAGES   \* MERGEFORMAT ">
      <w:r w:rsidR="00F141CB">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7897B" w14:textId="77777777" w:rsidR="00F141CB" w:rsidRDefault="002D70EA">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sidR="00F141CB">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7546A" w14:textId="71E17143" w:rsidR="00F141CB" w:rsidRDefault="00F141CB">
    <w:pPr>
      <w:pStyle w:val="Fuzeile"/>
      <w:tabs>
        <w:tab w:val="right" w:pos="612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C4500" w14:textId="77777777" w:rsidR="00EB60BD" w:rsidRDefault="00EB60BD">
      <w:pPr>
        <w:jc w:val="left"/>
        <w:rPr>
          <w:sz w:val="4"/>
        </w:rPr>
      </w:pPr>
      <w:r>
        <w:rPr>
          <w:sz w:val="4"/>
        </w:rPr>
        <w:t> </w:t>
      </w:r>
    </w:p>
  </w:footnote>
  <w:footnote w:type="continuationSeparator" w:id="0">
    <w:p w14:paraId="4AD68961" w14:textId="77777777" w:rsidR="00EB60BD" w:rsidRDefault="00EB60BD">
      <w:pPr>
        <w:jc w:val="left"/>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A5A21" w14:textId="783A30A1" w:rsidR="00F141CB" w:rsidRDefault="00F141CB" w:rsidP="005E4ECA">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C04DC" w14:textId="77777777" w:rsidR="00F141CB" w:rsidRDefault="002D70EA">
    <w:pPr>
      <w:pStyle w:val="Bild"/>
      <w:spacing w:after="440"/>
      <w:ind w:left="-403"/>
    </w:pPr>
    <w:bookmarkStart w:id="0" w:name="_Hlk192686122"/>
    <w:r>
      <w:rPr>
        <w:noProof/>
      </w:rPr>
      <w:drawing>
        <wp:inline distT="0" distB="0" distL="0" distR="0" wp14:anchorId="1BAC6153" wp14:editId="3F1E601B">
          <wp:extent cx="1350000" cy="342000"/>
          <wp:effectExtent l="0" t="0" r="3175" b="1270"/>
          <wp:docPr id="502670684" name="Grafik 50267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342000"/>
                  </a:xfrm>
                  <a:prstGeom prst="rect">
                    <a:avLst/>
                  </a:prstGeom>
                </pic:spPr>
              </pic:pic>
            </a:graphicData>
          </a:graphic>
        </wp:inline>
      </w:drawing>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118DD3C"/>
    <w:lvl w:ilvl="0">
      <w:numFmt w:val="decimal"/>
      <w:lvlText w:val="*"/>
      <w:lvlJc w:val="left"/>
    </w:lvl>
  </w:abstractNum>
  <w:abstractNum w:abstractNumId="1" w15:restartNumberingAfterBreak="0">
    <w:nsid w:val="11517920"/>
    <w:multiLevelType w:val="hybridMultilevel"/>
    <w:tmpl w:val="91B68F20"/>
    <w:lvl w:ilvl="0" w:tplc="3F3A07DA">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F825461"/>
    <w:multiLevelType w:val="hybridMultilevel"/>
    <w:tmpl w:val="3E5838F2"/>
    <w:lvl w:ilvl="0" w:tplc="49582C42">
      <w:numFmt w:val="bullet"/>
      <w:lvlText w:val="-"/>
      <w:lvlJc w:val="left"/>
      <w:pPr>
        <w:ind w:left="570" w:hanging="360"/>
      </w:pPr>
      <w:rPr>
        <w:rFonts w:ascii="Times New Roman" w:eastAsia="Times New Roman" w:hAnsi="Times New Roman" w:cs="Times New Roman"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3" w15:restartNumberingAfterBreak="0">
    <w:nsid w:val="5FF875FF"/>
    <w:multiLevelType w:val="hybridMultilevel"/>
    <w:tmpl w:val="00D07A6E"/>
    <w:lvl w:ilvl="0" w:tplc="59D2597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EF0447"/>
    <w:multiLevelType w:val="hybridMultilevel"/>
    <w:tmpl w:val="076AABDE"/>
    <w:lvl w:ilvl="0" w:tplc="59D25974">
      <w:start w:val="2"/>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7234256">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 w16cid:durableId="168030469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3" w16cid:durableId="71998167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4" w16cid:durableId="869101737">
    <w:abstractNumId w:val="1"/>
  </w:num>
  <w:num w:numId="5" w16cid:durableId="1462529744">
    <w:abstractNumId w:val="3"/>
  </w:num>
  <w:num w:numId="6" w16cid:durableId="256645044">
    <w:abstractNumId w:val="4"/>
  </w:num>
  <w:num w:numId="7" w16cid:durableId="7891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activeWritingStyle w:appName="MSWord" w:lang="de-CH" w:vendorID="9" w:dllVersion="512" w:checkStyle="1"/>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70"/>
  <w:drawingGridVerticalSpacing w:val="9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F141CB"/>
    <w:rsid w:val="00055A08"/>
    <w:rsid w:val="000610AD"/>
    <w:rsid w:val="00067BD1"/>
    <w:rsid w:val="00093371"/>
    <w:rsid w:val="000B0B9A"/>
    <w:rsid w:val="000B588A"/>
    <w:rsid w:val="000E3B4D"/>
    <w:rsid w:val="0020114F"/>
    <w:rsid w:val="00245297"/>
    <w:rsid w:val="002D70EA"/>
    <w:rsid w:val="00332B7B"/>
    <w:rsid w:val="003532D1"/>
    <w:rsid w:val="003566E0"/>
    <w:rsid w:val="003A3679"/>
    <w:rsid w:val="003F3D7B"/>
    <w:rsid w:val="0046537D"/>
    <w:rsid w:val="00492792"/>
    <w:rsid w:val="00496947"/>
    <w:rsid w:val="004B63CC"/>
    <w:rsid w:val="00523C6A"/>
    <w:rsid w:val="0053602C"/>
    <w:rsid w:val="0059608A"/>
    <w:rsid w:val="005E4ECA"/>
    <w:rsid w:val="005F07B9"/>
    <w:rsid w:val="00672404"/>
    <w:rsid w:val="00677D79"/>
    <w:rsid w:val="006C2380"/>
    <w:rsid w:val="006C790A"/>
    <w:rsid w:val="006E441F"/>
    <w:rsid w:val="007519B0"/>
    <w:rsid w:val="007B6439"/>
    <w:rsid w:val="007E7C54"/>
    <w:rsid w:val="008165C9"/>
    <w:rsid w:val="008656B3"/>
    <w:rsid w:val="009152C1"/>
    <w:rsid w:val="00917BAD"/>
    <w:rsid w:val="00A20B38"/>
    <w:rsid w:val="00A7514F"/>
    <w:rsid w:val="00A96DC2"/>
    <w:rsid w:val="00AE5951"/>
    <w:rsid w:val="00B509EB"/>
    <w:rsid w:val="00B9448B"/>
    <w:rsid w:val="00C36C01"/>
    <w:rsid w:val="00CB2DD5"/>
    <w:rsid w:val="00D1340F"/>
    <w:rsid w:val="00D44641"/>
    <w:rsid w:val="00D8222C"/>
    <w:rsid w:val="00D87898"/>
    <w:rsid w:val="00DA226B"/>
    <w:rsid w:val="00E13652"/>
    <w:rsid w:val="00E65D04"/>
    <w:rsid w:val="00EB60BD"/>
    <w:rsid w:val="00F141CB"/>
    <w:rsid w:val="00F17A64"/>
    <w:rsid w:val="00FE17EC"/>
    <w:rsid w:val="00FE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CB2600C"/>
  <w14:defaultImageDpi w14:val="330"/>
  <w15:chartTrackingRefBased/>
  <w15:docId w15:val="{147FC7AD-1AA2-4885-85F0-429521D2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val="de-CH"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val="de-CH"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val="de-CH"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Fuzeile">
    <w:name w:val="footer"/>
    <w:pPr>
      <w:spacing w:before="260" w:line="200" w:lineRule="exact"/>
    </w:pPr>
    <w:rPr>
      <w:sz w:val="18"/>
      <w:lang w:val="de-CH" w:eastAsia="de-DE"/>
    </w:rPr>
  </w:style>
  <w:style w:type="paragraph" w:styleId="Kopfzeile">
    <w:name w:val="header"/>
    <w:pPr>
      <w:pBdr>
        <w:bottom w:val="single" w:sz="6" w:space="5" w:color="auto"/>
      </w:pBdr>
      <w:tabs>
        <w:tab w:val="right" w:pos="6123"/>
      </w:tabs>
      <w:suppressAutoHyphens/>
      <w:spacing w:after="320" w:line="180" w:lineRule="exact"/>
    </w:pPr>
    <w:rPr>
      <w:sz w:val="16"/>
      <w:lang w:val="de-CH"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val="de-CH" w:eastAsia="de-DE"/>
    </w:rPr>
  </w:style>
  <w:style w:type="paragraph" w:customStyle="1" w:styleId="Absatz">
    <w:name w:val="Absatz"/>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Tabkrper083pt">
    <w:name w:val="Tabkörper 0/8/3pt"/>
    <w:basedOn w:val="Tabkrper08pt"/>
    <w:qFormat/>
    <w:pPr>
      <w:spacing w:after="60"/>
    </w:pPr>
  </w:style>
  <w:style w:type="paragraph" w:customStyle="1" w:styleId="Struktur-L1">
    <w:name w:val="Struktur-L 1"/>
    <w:basedOn w:val="Struktur1"/>
    <w:pPr>
      <w:tabs>
        <w:tab w:val="clear" w:pos="567"/>
      </w:tabs>
      <w:ind w:left="0" w:firstLine="0"/>
    </w:p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Struktur-L2">
    <w:name w:val="Struktur-L 2"/>
    <w:basedOn w:val="Standard"/>
    <w:pPr>
      <w:spacing w:before="40"/>
    </w:pPr>
    <w:rPr>
      <w:color w:val="auto"/>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pPr>
      <w:keepNext/>
      <w:keepLines/>
      <w:suppressAutoHyphens/>
      <w:spacing w:line="200" w:lineRule="exact"/>
      <w:jc w:val="right"/>
    </w:pPr>
    <w:rPr>
      <w:sz w:val="18"/>
      <w:lang w:val="de-CH" w:eastAsia="de-DE"/>
    </w:rPr>
  </w:style>
  <w:style w:type="paragraph" w:customStyle="1" w:styleId="TitelAnhKurztit">
    <w:name w:val="Titel Anh Kurztit"/>
    <w:pPr>
      <w:keepNext/>
      <w:keepLines/>
      <w:suppressAutoHyphens/>
      <w:spacing w:before="80" w:line="200" w:lineRule="exact"/>
    </w:pPr>
    <w:rPr>
      <w:b/>
      <w:lang w:val="de-CH" w:eastAsia="de-DE"/>
    </w:rPr>
  </w:style>
  <w:style w:type="paragraph" w:customStyle="1" w:styleId="TitelAnhrechts">
    <w:name w:val="Titel Anh rechts"/>
    <w:pPr>
      <w:keepNext/>
      <w:keepLines/>
      <w:pageBreakBefore/>
      <w:suppressAutoHyphens/>
      <w:spacing w:line="200" w:lineRule="exact"/>
      <w:jc w:val="right"/>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UnterschriftenFI1">
    <w:name w:val="UnterschriftenFI 1"/>
    <w:basedOn w:val="UnterschriftenFI"/>
    <w:pPr>
      <w:spacing w:before="480"/>
    </w:p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basedOn w:val="Standard"/>
    <w:pPr>
      <w:keepNext/>
      <w:keepLines/>
      <w:spacing w:before="0"/>
      <w:jc w:val="left"/>
    </w:pPr>
    <w:rPr>
      <w:b/>
      <w:color w:val="auto"/>
      <w:sz w:val="20"/>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val="de-CH"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pPr>
      <w:ind w:left="992"/>
    </w:pPr>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val="de-CH" w:eastAsia="de-DE"/>
    </w:rPr>
  </w:style>
  <w:style w:type="character" w:customStyle="1" w:styleId="ErrorZ">
    <w:name w:val="ErrorZ"/>
    <w:rPr>
      <w:rFonts w:ascii="Arial" w:hAnsi="Arial"/>
      <w:i/>
      <w:color w:val="FF0000"/>
    </w:rPr>
  </w:style>
  <w:style w:type="paragraph" w:customStyle="1" w:styleId="UnterschriftenFI">
    <w:name w:val="UnterschriftenFI"/>
    <w:basedOn w:val="Absatz"/>
    <w:pPr>
      <w:tabs>
        <w:tab w:val="left" w:pos="1701"/>
      </w:tabs>
      <w:spacing w:before="120"/>
      <w:jc w:val="left"/>
    </w:p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character" w:styleId="BesuchterLink">
    <w:name w:val="FollowedHyperlink"/>
    <w:rPr>
      <w:color w:val="auto"/>
      <w:u w:val="none"/>
    </w:rPr>
  </w:style>
  <w:style w:type="character" w:styleId="Hyperlink">
    <w:name w:val="Hyperlink"/>
    <w:uiPriority w:val="99"/>
    <w:unhideWhenUsed/>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59575\AppData\Roaming\Microsoft\Templates\Div-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Div-Vorl</Template>
  <TotalTime>0</TotalTime>
  <Pages>4</Pages>
  <Words>644</Words>
  <Characters>4614</Characters>
  <Application>Microsoft Office Word</Application>
  <DocSecurity>4</DocSecurity>
  <Lines>38</Lines>
  <Paragraphs>10</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Dokumentvorlage nicht rechtsetzende Texte</vt:lpstr>
      <vt:lpstr>Dokumentvorlage nicht rechtsetzende Texte</vt:lpstr>
      <vt:lpstr>Dokumentvorlage nicht rechtsetzende Texte für Word 2016</vt:lpstr>
    </vt:vector>
  </TitlesOfParts>
  <Manager>Schweizerische Bundeskanzlei (BK)</Manager>
  <Company>BK-KAV, Feldeggweg 1, 3003 Bern</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nicht rechtsetzende Texte</dc:title>
  <dc:subject>Gesetzgebungsprozess / Bundesratsgeschäfte</dc:subject>
  <dc:creator>Koch Daniel BK</dc:creator>
  <cp:keywords>Rechtstext Formatvorlage DfV</cp:keywords>
  <cp:lastModifiedBy>Berli Yannick</cp:lastModifiedBy>
  <cp:revision>2</cp:revision>
  <cp:lastPrinted>2025-05-27T07:25:00Z</cp:lastPrinted>
  <dcterms:created xsi:type="dcterms:W3CDTF">2025-10-06T07:55:00Z</dcterms:created>
  <dcterms:modified xsi:type="dcterms:W3CDTF">2025-10-06T07:55:00Z</dcterms:modified>
  <cp:category>Rechtstexte, sonstige Texte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MesserliAktiv">
    <vt:bool>true</vt:bool>
  </property>
  <property fmtid="{D5CDD505-2E9C-101B-9397-08002B2CF9AE}" pid="4" name="WordInitAktiv">
    <vt:bool>false</vt:bool>
  </property>
  <property fmtid="{D5CDD505-2E9C-101B-9397-08002B2CF9AE}" pid="5" name="KavIntern">
    <vt:bool>true</vt:bool>
  </property>
  <property fmtid="{D5CDD505-2E9C-101B-9397-08002B2CF9AE}" pid="6" name="MSIP_Label_245c3252-146d-46f3-8062-82cd8c8d7e7d_Enabled">
    <vt:lpwstr>true</vt:lpwstr>
  </property>
  <property fmtid="{D5CDD505-2E9C-101B-9397-08002B2CF9AE}" pid="7" name="MSIP_Label_245c3252-146d-46f3-8062-82cd8c8d7e7d_SetDate">
    <vt:lpwstr>2024-09-30T08:28:48Z</vt:lpwstr>
  </property>
  <property fmtid="{D5CDD505-2E9C-101B-9397-08002B2CF9AE}" pid="8" name="MSIP_Label_245c3252-146d-46f3-8062-82cd8c8d7e7d_Method">
    <vt:lpwstr>Privileged</vt:lpwstr>
  </property>
  <property fmtid="{D5CDD505-2E9C-101B-9397-08002B2CF9AE}" pid="9" name="MSIP_Label_245c3252-146d-46f3-8062-82cd8c8d7e7d_Name">
    <vt:lpwstr>L1</vt:lpwstr>
  </property>
  <property fmtid="{D5CDD505-2E9C-101B-9397-08002B2CF9AE}" pid="10" name="MSIP_Label_245c3252-146d-46f3-8062-82cd8c8d7e7d_SiteId">
    <vt:lpwstr>6ae27add-8276-4a38-88c1-3a9c1f973767</vt:lpwstr>
  </property>
  <property fmtid="{D5CDD505-2E9C-101B-9397-08002B2CF9AE}" pid="11" name="MSIP_Label_245c3252-146d-46f3-8062-82cd8c8d7e7d_ActionId">
    <vt:lpwstr>747d2ee4-d981-4aa3-baac-4e62809450fa</vt:lpwstr>
  </property>
  <property fmtid="{D5CDD505-2E9C-101B-9397-08002B2CF9AE}" pid="12" name="MSIP_Label_245c3252-146d-46f3-8062-82cd8c8d7e7d_ContentBits">
    <vt:lpwstr>0</vt:lpwstr>
  </property>
  <property fmtid="{D5CDD505-2E9C-101B-9397-08002B2CF9AE}" pid="13" name="MesserliCheck">
    <vt:i4>45804</vt:i4>
  </property>
</Properties>
</file>